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4674"/>
        <w:gridCol w:w="2198"/>
      </w:tblGrid>
      <w:tr w:rsidR="00E954D7" w14:paraId="21E68014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0454987C" w14:textId="77777777" w:rsidR="00E954D7" w:rsidRDefault="00E954D7"/>
        </w:tc>
        <w:tc>
          <w:tcPr>
            <w:tcW w:w="66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3C6A6D57" w14:textId="77777777" w:rsidR="00E954D7" w:rsidRDefault="00A44D8E"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PËR DËRGIMIN E KOMENTEVE</w:t>
            </w:r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59F18775" w14:textId="77777777" w:rsidR="00E954D7" w:rsidRDefault="00E954D7"/>
        </w:tc>
      </w:tr>
    </w:tbl>
    <w:p w14:paraId="22CC3A50" w14:textId="77777777" w:rsidR="00E954D7" w:rsidRDefault="00E954D7"/>
    <w:tbl>
      <w:tblPr>
        <w:tblW w:w="0" w:type="auto"/>
        <w:tblInd w:w="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129"/>
      </w:tblGrid>
      <w:tr w:rsidR="00E954D7" w14:paraId="13844DCB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FE5C7A3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Titulli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draft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ligjit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/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dokumenti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konceptit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/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strategjia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ndonjë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akt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konsulëen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D287102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PROJEKTLIGJI PËR TUBIME PUBLIKE   </w:t>
            </w:r>
          </w:p>
        </w:tc>
      </w:tr>
      <w:tr w:rsidR="00E954D7" w:rsidRPr="00A44D8E" w14:paraId="3D2A964B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5A92628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Entiteti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529BC53" w14:textId="77777777" w:rsidR="00E954D7" w:rsidRPr="00A44D8E" w:rsidRDefault="00A44D8E">
            <w:pPr>
              <w:rPr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  <w:lang w:val="it-IT"/>
              </w:rPr>
              <w:t>Ministria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  <w:lang w:val="it-IT"/>
              </w:rPr>
              <w:t>Puneve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  <w:lang w:val="it-IT"/>
              </w:rPr>
              <w:t>Brendshme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lang w:val="it-IT"/>
              </w:rPr>
              <w:t xml:space="preserve">   </w:t>
            </w:r>
          </w:p>
        </w:tc>
      </w:tr>
      <w:tr w:rsidR="00E954D7" w14:paraId="62BBDA5F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5D4826E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Emri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kontribuesit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organizatë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/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individ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49C7EDD" w14:textId="77777777" w:rsidR="00E954D7" w:rsidRDefault="002176A4"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Taulant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Hoxha - KCSF</w:t>
            </w:r>
            <w:r w:rsidR="00A44D8E"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954D7" w14:paraId="7917BC7D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BB5528A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Komenti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përgjithshëm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62C64C7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Komentet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rekomandimet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e </w:t>
            </w:r>
            <w:r w:rsidR="002176A4"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KCSF</w:t>
            </w:r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Projektligjin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publike</w:t>
            </w:r>
            <w:proofErr w:type="spellEnd"/>
          </w:p>
          <w:p w14:paraId="00230EAC" w14:textId="77777777" w:rsidR="00E954D7" w:rsidRDefault="00E954D7"/>
          <w:p w14:paraId="5BF690EF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  <w:p w14:paraId="1D23005D" w14:textId="77777777" w:rsidR="00E954D7" w:rsidRDefault="00E954D7"/>
          <w:p w14:paraId="62D1A1FC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Koment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përgjithshëm</w:t>
            </w:r>
            <w:proofErr w:type="spellEnd"/>
          </w:p>
          <w:p w14:paraId="1F403536" w14:textId="77777777" w:rsidR="00E954D7" w:rsidRDefault="00E954D7"/>
          <w:p w14:paraId="7D462B56" w14:textId="77777777" w:rsidR="002176A4" w:rsidRPr="00A44D8E" w:rsidRDefault="002176A4" w:rsidP="00A44D8E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 w:rsidRPr="00A44D8E">
              <w:rPr>
                <w:color w:val="000000"/>
                <w:sz w:val="27"/>
                <w:szCs w:val="27"/>
              </w:rPr>
              <w:t>Fondacioni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Kosovar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Shoqëri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Civile (KCSF) ka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pranuar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ftesën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komente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kuadër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procesit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konsultimit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publik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Projektligjin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Tubime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Publike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dhe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ka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trajtuar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materialin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publikuar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përputhje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me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misionin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dhe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fushë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veprimtarinë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vet.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Komentet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KCSF-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së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përqendrohen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kryesisht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ndikimin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potencial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që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dispozita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caktuara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këtij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Projektligji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mund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kenë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drejtën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qytetarëve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organizatave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shoqërisë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civile (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OShC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dhe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subjekteve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tjera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ushtruar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lirinë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tubimit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,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drejtë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kjo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që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është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parakusht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realizimin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drejtës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së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pjesëmarrjes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aktivitete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publike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shprehur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mendimet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dhe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pakënaqësitë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dhe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ndikuar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mënyrë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demokratike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proceset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vendimmarrëse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vend.</w:t>
            </w:r>
          </w:p>
          <w:p w14:paraId="07F97077" w14:textId="77777777" w:rsidR="002176A4" w:rsidRPr="00A44D8E" w:rsidRDefault="002176A4" w:rsidP="002176A4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përputhje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me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parimet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konsultimit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publik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mirëfilltë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, KCSF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fton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organin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propozues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që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reflektojë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mbi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këto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komente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mënyrë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që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mundësojë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hartimin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një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politike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që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mundëson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dhe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promovon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zbatimin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drejtës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organizuar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apo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marrë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pjesë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tubime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publike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për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gjithë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konform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standardeve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dhe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parimeve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të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mira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44D8E">
              <w:rPr>
                <w:color w:val="000000"/>
                <w:sz w:val="27"/>
                <w:szCs w:val="27"/>
              </w:rPr>
              <w:t>ndërkombëtare</w:t>
            </w:r>
            <w:proofErr w:type="spellEnd"/>
            <w:r w:rsidRPr="00A44D8E">
              <w:rPr>
                <w:color w:val="000000"/>
                <w:sz w:val="27"/>
                <w:szCs w:val="27"/>
              </w:rPr>
              <w:t>.</w:t>
            </w:r>
          </w:p>
          <w:p w14:paraId="075C4034" w14:textId="77777777" w:rsidR="00E954D7" w:rsidRDefault="00E954D7" w:rsidP="002176A4"/>
        </w:tc>
      </w:tr>
      <w:tr w:rsidR="00E954D7" w:rsidRPr="00A44D8E" w14:paraId="4E55F71B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EA7110E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Komenti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ne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artikullin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specifik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ndonjë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draftit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A46137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Komentet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Specifike</w:t>
            </w:r>
            <w:proofErr w:type="spellEnd"/>
          </w:p>
          <w:p w14:paraId="3D666E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D9FED1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B58019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A4112E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4D802CF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9491CC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14E0CD9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F3CCE0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AB90C7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820A30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371AFCF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166624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FD4DE2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545BB6B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D7D730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0B1D61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shënuar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/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316FEDD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E03A8F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D7517F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025469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6111928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A2F1B2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3,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dispozitat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vlefshme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ofrojnë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vendosin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ta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Principi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standardet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 [1]</w:t>
            </w:r>
          </w:p>
          <w:p w14:paraId="7C30DC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97DF7C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 xml:space="preserve"> </w:t>
            </w:r>
          </w:p>
          <w:p w14:paraId="7097BBF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81242B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3F95BCB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E76BE8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5C793F4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27C693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9DD638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D41331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7952313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13774A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78425B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1.1.1.Tubimet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demonstrata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përkujtime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masive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;</w:t>
            </w:r>
          </w:p>
          <w:p w14:paraId="13A84DB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AB9B2E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11130D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B8AA72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kategorizohen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Lista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kufizuar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vërejmë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marshe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ndezje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qirinjëve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elaboruar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fuqi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Nr. 03/L-118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.[2]</w:t>
            </w:r>
          </w:p>
          <w:p w14:paraId="613B6C3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FB378A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328416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A6323F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68671F4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728E11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përbëjnë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vazhdim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shohim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shpesh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marshet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ndezjet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qirinjëve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kategorizohen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2,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detajuar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gjithëpërfshirëse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mos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5650A69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F14E51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FA6BB6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A70B3B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0AC388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A011E8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67FC330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13F3AA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01BB37E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65D25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3E6A5A1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10F3FC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10D68A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A75194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1.1.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0957724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AC75A6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CE3974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230513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Neni 3, Pika 1.1,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pa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theksuar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fjala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Konsiderojmë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reagimit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ndërlidhjes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asocimit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rrallë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pjesëmarrës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shmangur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çfarëdo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interpretim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abritrar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dispozite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domosdoshme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njihet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përfqësuesit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entitetit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definicionit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bazë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kritereve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standardeve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[3].</w:t>
            </w:r>
          </w:p>
          <w:p w14:paraId="22A9A36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0EF2F4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2F6078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38C3B4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75CB268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D92D08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4</w:t>
            </w:r>
          </w:p>
          <w:p w14:paraId="5457AFA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2F9776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</w:p>
          <w:p w14:paraId="7765671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83055D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15AD2D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456FD2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Secili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 pa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dallim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gjinie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race,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ngjyre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gjuhe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besimi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përkatësisë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nacionale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gjendjes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ekonomike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financiare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arsimore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sociale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bindjeve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rrethane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vetjake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283AE82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6EA28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014C6D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81C839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Njeriut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njihet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sigurojë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refugjatët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shtetasit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azilkërkuesit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/set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migrantët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Shembull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grup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qëndruar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tursit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bjeshkët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Rugovës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duan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përkrahjes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bashkëmendimtarët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ngritjes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vetëdijes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fakt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përtej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kufirit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shtetëror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48F00F4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C86896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0513A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74718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1D8CC75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CC8A67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refugjatët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azilkërkuesit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migrantët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8A78D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EFBD33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DE318B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C38B4C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67BC68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57CF91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5</w:t>
            </w:r>
          </w:p>
          <w:p w14:paraId="566D00C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EC4DF0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</w:p>
          <w:p w14:paraId="51AD544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1880DB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B8366C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B0B6BD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përafërt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6035D4B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C2EBC7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7FFD87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5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përafërt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mos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karakter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obligativ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ofrimit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përshtatshme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vend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[4]. Ky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specifikon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vend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secila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to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2D2168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5BBE40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42740A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0E7059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29CDD53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87A29C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formulimi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Neni 5, Pika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pamundur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arsye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objektive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61A2707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FC2758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222A6A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65F8DB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ACC586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C69619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1D1611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8860ED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8</w:t>
            </w:r>
          </w:p>
          <w:p w14:paraId="59F4080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1E4B7A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</w:p>
          <w:p w14:paraId="3E675E7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E9F9CF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C54FD1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37DCA3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BC2C99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ABC6F2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zhvillohen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respektuar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afatin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shtatëdhjetë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(72)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orësh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0A005DE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B1FCFC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E738D4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shkrim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përmban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elementet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arsyen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urgjencës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vonë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(3)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51FF407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859227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E8C3E7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5464D0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504E20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Policia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zyrtarisht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organizatorë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5760D98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985CA9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CB8CAD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;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5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kushtimisht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lejohet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384A230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F2E684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26285F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8BA345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njëkohshmë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online.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posaçërisht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situata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ajo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pandeminë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COVID-19,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3A76BEC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880D81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1EECC5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122D5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lidhje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706E983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DD25DA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njihen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standardet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te OSCE/ODIHR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[5].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argumentohet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hulumtimet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KCSF-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ambienti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favorshëm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.[6]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Pervec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njëkohëshme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tepër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6A60C50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D73C88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kundërshtuar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sigurojë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mbrojtjen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mirëqenien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protestuesëve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pranishën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protestë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kundër-protest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DE0D03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4A09A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lidhje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10506C1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850505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theksojë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paqësor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Online.</w:t>
            </w:r>
          </w:p>
          <w:p w14:paraId="3C267E6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BCC38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493A20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EBC19F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9</w:t>
            </w:r>
          </w:p>
          <w:p w14:paraId="513E269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85BA90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</w:p>
          <w:p w14:paraId="4F71400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6B1FA0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4D19BD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8542A8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Vendimi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përfundimtar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inicohet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konflikt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kompetente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tri (3)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ditëve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pranimit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FF1137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E85084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09ABD3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Paragrafi 3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mosaprovim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pasi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ofron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apeluar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B58EC4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D6C18D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7027FF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F340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6FFC7E4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48639D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Formulimi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pari tek organi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siç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rregulluar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Nr. 03/L-118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vendimi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shkalle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kënaqshëm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palën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ankuese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atëherë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apelimi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kompetente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shkallët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vendimi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final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procedurë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para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datës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bazuara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Vendeikut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.[7]</w:t>
            </w:r>
          </w:p>
          <w:p w14:paraId="6C6606A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11955A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3F801F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C6F7AA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13</w:t>
            </w:r>
          </w:p>
          <w:p w14:paraId="1BC22FE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3B5018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Veprimet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gjësendet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</w:p>
          <w:p w14:paraId="520819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BBA55E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67E12C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DA314F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u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gjatë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shkaktojnë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467215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375EA0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D9F107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natyrën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llojin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t’u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Kësisoj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hapësirë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keqinterpretim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rrjedhimisht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kufizime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A467E1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D5F22C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 </w:t>
            </w:r>
          </w:p>
          <w:p w14:paraId="75C6D70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8342F8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35108EA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73EA95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paragrafit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gjatë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shkaktojnë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përmendur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natyrën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p.sh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mprehta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mos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cenojë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bartjen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lehtësojnë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p.sh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pankartave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përqim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mesazhit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shprehje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19F3395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2EA693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5D30A7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C456CD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E6E613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B94F37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14</w:t>
            </w:r>
          </w:p>
          <w:p w14:paraId="3C4C1C2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EE1DA4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ndërprerjen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</w:t>
            </w:r>
            <w:proofErr w:type="spellEnd"/>
          </w:p>
          <w:p w14:paraId="498030F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E30C4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25BFC5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DECF7B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urdhrit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ana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rreziku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evitohet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shtrënguese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6E8EED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11FB58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882D1F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3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thekson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urdhrit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tërthorazi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nënkuptohet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autoritetet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5DBD716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7B46E9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004299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ABD6F2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005E4CF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CBA733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paragraf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sa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përshtatshme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lejoi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fundit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mjaftueshme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/et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57E40C7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2BFB5A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FA9BCB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DBA610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jospecifik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hapësira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interpretime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cka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do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do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cenonin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5229E0C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BA1F15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EB45A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7FD7D1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2B5648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3DE623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24</w:t>
            </w:r>
          </w:p>
          <w:p w14:paraId="056AA34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707070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ndëshkuese</w:t>
            </w:r>
            <w:proofErr w:type="spellEnd"/>
          </w:p>
          <w:p w14:paraId="13A6124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5182C9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B72C3C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CCD11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shkelje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dispozitave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521865E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D09389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5CDAAA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2E18139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CB57D8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99D51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34A859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</w:p>
          <w:p w14:paraId="0CF4B3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2A64CB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</w:t>
            </w:r>
          </w:p>
          <w:p w14:paraId="60D9808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324FE3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Neni 8, paragrafi 1,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afatin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shtatëdhjetë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(72)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orësh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0D39FDF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4CFDE9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59B311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DB7A20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Duke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analizuar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;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vërehet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kundërshtim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njëra-tjetrën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rrjedhimisht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paragrafi 2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vështirë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zbatohet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8CF38B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0BE8B7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8F9DBD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4732E4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11C43B7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029B8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fjalinë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8.1. Pas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paragrafi 2.1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do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reflektojë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rregull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4B8B1A1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274E7B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9E9CE3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997F39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Pika 1 Neni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parasheh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procedurë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456792E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17BC5F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4658B7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6A410B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 </w:t>
            </w:r>
          </w:p>
          <w:p w14:paraId="0F216CF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05EBDD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24</w:t>
            </w:r>
          </w:p>
          <w:p w14:paraId="1DA4AC3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1701AD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ndëshkuese</w:t>
            </w:r>
            <w:proofErr w:type="spellEnd"/>
          </w:p>
          <w:p w14:paraId="54C287E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5E505B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E19BC1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C517A1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shkelje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dispozitave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1CC4FB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C008DF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C52BCF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1D27CB6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AB25A4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2.1.2.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pesëdhjetë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(150)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473E09F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2104C9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2.3.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36567E1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F2F23C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2.3.2. 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treqind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(300)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E7C355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E17900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2.6.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paragrafi 2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28FDC16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9F04F6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2.6.2.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treqind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(300) 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0321E50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65B03A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CA7B83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9522C2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parasysh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operojnë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kushte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rrethana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shumicën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mbizotëron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aktiviteti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vullnetar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tilla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grupacioneve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qytetarëve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angazhohen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rreth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adresimit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komunitetin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joproporcionale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075CEA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284E23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EE7F94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452FEB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3F01CDB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33D407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FDEF9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813055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Opcioni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pikave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Jo-Qeveritare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vogël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krahsim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aktiviteti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fitimin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biznese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korporata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)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shembull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100 EUR).</w:t>
            </w:r>
          </w:p>
          <w:p w14:paraId="1CC1A0E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B4732E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Opcioni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pikave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hyra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vjetore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50,000 EUR,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Jo-Qeveritare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100 EUR.</w:t>
            </w:r>
          </w:p>
          <w:p w14:paraId="0579D35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DAC91C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060965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4738F4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04C2ED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5ADFA1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E5F6A1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D74FB1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BD2284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860141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8EFB09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E5567F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[1]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 https://www.ohchr.org/Documents/ProfessionalInterest/ccpr.pdf</w:t>
            </w:r>
          </w:p>
          <w:p w14:paraId="7D825EE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D7F742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[2]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 https://gzk.rks-gov.net/ActDetail.aspx?ActID=2633</w:t>
            </w:r>
          </w:p>
          <w:p w14:paraId="6D9894E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19612E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[3]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https://ëëë.ohchr.org/Documents/ProfessionalInterest/ccpr.pdf</w:t>
            </w:r>
          </w:p>
          <w:p w14:paraId="455F000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88FFE0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[4]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https://www.venice.coe.int/ëebforms/documents/default.aspx?pdffile=CDL-AD(2010)020-e</w:t>
            </w:r>
          </w:p>
          <w:p w14:paraId="7711404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BDD1AD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[5]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https://www.venice.coe.int/webforms/documents/default.aspx?pdffile=CDL-AD(2010)020-e</w:t>
            </w:r>
          </w:p>
          <w:p w14:paraId="1C5CC6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E40FF8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[6]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Matrica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Monitorimit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Favorshëm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Civile, https://ëëë.kcsfoundation.org/ëp-content/uploads/2021/02/MM-2020_Kosova-country-report_final_ALB-1-1.pdf</w:t>
            </w:r>
          </w:p>
          <w:p w14:paraId="0E97A0B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9FDF2BC" w14:textId="77777777" w:rsidR="00E954D7" w:rsidRPr="00A44D8E" w:rsidRDefault="002176A4" w:rsidP="002176A4">
            <w:pPr>
              <w:rPr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[7]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; https://www.venice.coe.int/ëebforms/documents/default.aspx?pdffile=CDL-AD(2010)020-e</w:t>
            </w:r>
          </w:p>
        </w:tc>
      </w:tr>
      <w:tr w:rsidR="00E954D7" w14:paraId="45086724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2F5945C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>Personi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kontaktues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2496730" w14:textId="77777777" w:rsidR="00E954D7" w:rsidRDefault="002176A4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Taulant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Hoxha</w:t>
            </w:r>
          </w:p>
        </w:tc>
      </w:tr>
      <w:tr w:rsidR="00E954D7" w14:paraId="020CBA1B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E69AD96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kontaktues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73547B4" w14:textId="77777777" w:rsidR="00E954D7" w:rsidRDefault="00A44D8E">
            <w:r w:rsidRPr="00A44D8E">
              <w:t>office@kcsfoundation.org</w:t>
            </w:r>
          </w:p>
        </w:tc>
      </w:tr>
    </w:tbl>
    <w:p w14:paraId="3D4C5EFF" w14:textId="77777777" w:rsidR="00E954D7" w:rsidRDefault="00E954D7"/>
    <w:p w14:paraId="35E53787" w14:textId="77777777" w:rsidR="00E954D7" w:rsidRPr="002176A4" w:rsidRDefault="00A44D8E">
      <w:pPr>
        <w:spacing w:before="1" w:after="1"/>
        <w:rPr>
          <w:lang w:val="de-DE"/>
        </w:rPr>
      </w:pPr>
      <w:proofErr w:type="spellStart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>Ky</w:t>
      </w:r>
      <w:proofErr w:type="spellEnd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 xml:space="preserve"> </w:t>
      </w:r>
      <w:proofErr w:type="spellStart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>konsultim</w:t>
      </w:r>
      <w:proofErr w:type="spellEnd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 xml:space="preserve"> publik </w:t>
      </w:r>
      <w:proofErr w:type="spellStart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>nuk</w:t>
      </w:r>
      <w:proofErr w:type="spellEnd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 xml:space="preserve"> </w:t>
      </w:r>
      <w:proofErr w:type="spellStart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>permbanë</w:t>
      </w:r>
      <w:proofErr w:type="spellEnd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 xml:space="preserve"> </w:t>
      </w:r>
      <w:proofErr w:type="spellStart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>dokumente</w:t>
      </w:r>
      <w:proofErr w:type="spellEnd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 xml:space="preserve"> </w:t>
      </w:r>
      <w:proofErr w:type="spellStart"/>
      <w:r w:rsidRPr="002176A4">
        <w:rPr>
          <w:rFonts w:ascii="Cambria (Headings)" w:hAnsi="Cambria (Headings)" w:cs="Cambria (Headings)"/>
          <w:sz w:val="22"/>
          <w:szCs w:val="22"/>
          <w:lang w:val="de-DE"/>
        </w:rPr>
        <w:t>shtesë</w:t>
      </w:r>
      <w:proofErr w:type="spellEnd"/>
    </w:p>
    <w:p w14:paraId="35900D2F" w14:textId="77777777" w:rsidR="00E954D7" w:rsidRPr="002176A4" w:rsidRDefault="00E954D7">
      <w:pPr>
        <w:rPr>
          <w:lang w:val="de-DE"/>
        </w:rPr>
      </w:pPr>
    </w:p>
    <w:p w14:paraId="7256A76D" w14:textId="77777777" w:rsidR="00E954D7" w:rsidRPr="002176A4" w:rsidRDefault="00E954D7">
      <w:pPr>
        <w:rPr>
          <w:lang w:val="de-DE"/>
        </w:rPr>
      </w:pPr>
    </w:p>
    <w:p w14:paraId="0161FB42" w14:textId="77777777" w:rsidR="00E954D7" w:rsidRPr="002176A4" w:rsidRDefault="00E954D7">
      <w:pPr>
        <w:rPr>
          <w:lang w:val="de-DE"/>
        </w:rPr>
      </w:pPr>
    </w:p>
    <w:p w14:paraId="26F0D3CB" w14:textId="77777777" w:rsidR="00E954D7" w:rsidRPr="002176A4" w:rsidRDefault="00E954D7">
      <w:pPr>
        <w:rPr>
          <w:lang w:val="de-DE"/>
        </w:rPr>
      </w:pPr>
    </w:p>
    <w:p w14:paraId="7FF9CACA" w14:textId="77777777" w:rsidR="00E954D7" w:rsidRPr="002176A4" w:rsidRDefault="00E954D7">
      <w:pPr>
        <w:rPr>
          <w:lang w:val="de-DE"/>
        </w:rPr>
      </w:pPr>
    </w:p>
    <w:p w14:paraId="2CE5ADFE" w14:textId="77777777" w:rsidR="00E954D7" w:rsidRPr="002176A4" w:rsidRDefault="00E954D7">
      <w:pPr>
        <w:rPr>
          <w:lang w:val="de-DE"/>
        </w:rPr>
      </w:pPr>
    </w:p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4266"/>
        <w:gridCol w:w="2210"/>
      </w:tblGrid>
      <w:tr w:rsidR="00E954D7" w14:paraId="77A9F783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0250BC39" w14:textId="77777777" w:rsidR="00E954D7" w:rsidRPr="00A44D8E" w:rsidRDefault="00E954D7">
            <w:pPr>
              <w:rPr>
                <w:lang w:val="de-DE"/>
              </w:rPr>
            </w:pPr>
          </w:p>
        </w:tc>
        <w:tc>
          <w:tcPr>
            <w:tcW w:w="60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6E518D1A" w14:textId="77777777" w:rsidR="00E954D7" w:rsidRDefault="00A44D8E"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FOR SENDING COMMENTS</w:t>
            </w:r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499F19B4" w14:textId="77777777" w:rsidR="00E954D7" w:rsidRDefault="00E954D7"/>
        </w:tc>
      </w:tr>
    </w:tbl>
    <w:p w14:paraId="4E8956B9" w14:textId="77777777" w:rsidR="00E954D7" w:rsidRDefault="00E954D7"/>
    <w:tbl>
      <w:tblPr>
        <w:tblW w:w="0" w:type="auto"/>
        <w:tblInd w:w="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81"/>
      </w:tblGrid>
      <w:tr w:rsidR="00E954D7" w14:paraId="001316ED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5D0D40C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Title of the draft Law/concept document/Strategy or other act under public consultation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76385DC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DRAFT LAW ON PUBLIC GATHERINGS   </w:t>
            </w:r>
          </w:p>
        </w:tc>
      </w:tr>
      <w:tr w:rsidR="00E954D7" w14:paraId="0B54CF16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76338F1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Public body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48C7442" w14:textId="77777777" w:rsidR="00E954D7" w:rsidRDefault="00A44D8E"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Ministry of Internal Affairs</w:t>
            </w:r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954D7" w14:paraId="11FD99FE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F9940EE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>Name of contributor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organisation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/individual)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55CBE4E" w14:textId="77777777" w:rsidR="00E954D7" w:rsidRDefault="002176A4"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Taulant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Hoxha</w:t>
            </w:r>
          </w:p>
        </w:tc>
      </w:tr>
      <w:tr w:rsidR="00E954D7" w14:paraId="36B114EE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9096F14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General comments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9F728E3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Komentet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rekomandimet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e </w:t>
            </w:r>
            <w:r w:rsidR="002176A4"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KCSF</w:t>
            </w:r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Projektligjin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publike</w:t>
            </w:r>
            <w:proofErr w:type="spellEnd"/>
          </w:p>
          <w:p w14:paraId="69E83F0A" w14:textId="77777777" w:rsidR="00E954D7" w:rsidRDefault="00E954D7"/>
          <w:p w14:paraId="0DC753C7" w14:textId="77777777" w:rsidR="002176A4" w:rsidRDefault="00A44D8E" w:rsidP="002176A4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  <w:p w14:paraId="32E5B769" w14:textId="77777777" w:rsidR="002176A4" w:rsidRDefault="002176A4" w:rsidP="002176A4">
            <w:proofErr w:type="spellStart"/>
            <w:r>
              <w:t>Koment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përgjithshëm</w:t>
            </w:r>
            <w:proofErr w:type="spellEnd"/>
          </w:p>
          <w:p w14:paraId="31BA00E0" w14:textId="77777777" w:rsidR="002176A4" w:rsidRDefault="002176A4" w:rsidP="002176A4"/>
          <w:p w14:paraId="47C06106" w14:textId="77777777" w:rsidR="002176A4" w:rsidRDefault="002176A4" w:rsidP="002176A4">
            <w:proofErr w:type="spellStart"/>
            <w:r>
              <w:t>Fondacioni</w:t>
            </w:r>
            <w:proofErr w:type="spellEnd"/>
            <w:r>
              <w:t xml:space="preserve"> Kosovar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Shoqëri</w:t>
            </w:r>
            <w:proofErr w:type="spellEnd"/>
            <w:r>
              <w:t xml:space="preserve"> Civile (KCSF) ka </w:t>
            </w:r>
            <w:proofErr w:type="spellStart"/>
            <w:r>
              <w:t>pranuar</w:t>
            </w:r>
            <w:proofErr w:type="spellEnd"/>
            <w:r>
              <w:t xml:space="preserve"> </w:t>
            </w:r>
            <w:proofErr w:type="spellStart"/>
            <w:r>
              <w:t>ftesën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komente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kuadër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procesit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konsultimit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Projektligjin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Tubime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 xml:space="preserve">, </w:t>
            </w:r>
            <w:proofErr w:type="spellStart"/>
            <w:r>
              <w:t>dhe</w:t>
            </w:r>
            <w:proofErr w:type="spellEnd"/>
            <w:r>
              <w:t xml:space="preserve"> e ka </w:t>
            </w:r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materialin</w:t>
            </w:r>
            <w:proofErr w:type="spellEnd"/>
            <w:r>
              <w:t xml:space="preserve"> e </w:t>
            </w:r>
            <w:proofErr w:type="spellStart"/>
            <w:r>
              <w:t>publikuar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përputhje</w:t>
            </w:r>
            <w:proofErr w:type="spellEnd"/>
            <w:r>
              <w:t xml:space="preserve"> me </w:t>
            </w:r>
            <w:proofErr w:type="spellStart"/>
            <w:r>
              <w:t>misionin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fushë</w:t>
            </w:r>
            <w:proofErr w:type="spellEnd"/>
            <w:r>
              <w:t xml:space="preserve"> </w:t>
            </w:r>
            <w:proofErr w:type="spellStart"/>
            <w:r>
              <w:t>veprimtarinë</w:t>
            </w:r>
            <w:proofErr w:type="spellEnd"/>
            <w:r>
              <w:t xml:space="preserve"> e vet. </w:t>
            </w:r>
            <w:proofErr w:type="spellStart"/>
            <w:r>
              <w:t>Komentet</w:t>
            </w:r>
            <w:proofErr w:type="spellEnd"/>
            <w:r>
              <w:t xml:space="preserve"> e KCSF-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përqendrohen</w:t>
            </w:r>
            <w:proofErr w:type="spellEnd"/>
            <w:r>
              <w:t xml:space="preserve"> </w:t>
            </w:r>
            <w:proofErr w:type="spellStart"/>
            <w:r>
              <w:t>kryesisht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ndikimin</w:t>
            </w:r>
            <w:proofErr w:type="spellEnd"/>
            <w:r>
              <w:t xml:space="preserve"> </w:t>
            </w:r>
            <w:proofErr w:type="spellStart"/>
            <w:r>
              <w:t>potencial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dispozita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caktuara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këtij</w:t>
            </w:r>
            <w:proofErr w:type="spellEnd"/>
            <w:r>
              <w:t xml:space="preserve"> </w:t>
            </w:r>
            <w:proofErr w:type="spellStart"/>
            <w:r>
              <w:t>Projektligji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kenë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drejtën</w:t>
            </w:r>
            <w:proofErr w:type="spellEnd"/>
            <w:r>
              <w:t xml:space="preserve"> e </w:t>
            </w:r>
            <w:proofErr w:type="spellStart"/>
            <w:r>
              <w:t>qytetarëve</w:t>
            </w:r>
            <w:proofErr w:type="spellEnd"/>
            <w:r>
              <w:t xml:space="preserve">, </w:t>
            </w:r>
            <w:proofErr w:type="spellStart"/>
            <w:r>
              <w:t>organizatave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shoqërisë</w:t>
            </w:r>
            <w:proofErr w:type="spellEnd"/>
            <w:r>
              <w:t xml:space="preserve"> civile (</w:t>
            </w:r>
            <w:proofErr w:type="spellStart"/>
            <w:r>
              <w:t>OShC</w:t>
            </w:r>
            <w:proofErr w:type="spellEnd"/>
            <w:r>
              <w:t xml:space="preserve">)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ushtruar</w:t>
            </w:r>
            <w:proofErr w:type="spellEnd"/>
            <w:r>
              <w:t xml:space="preserve"> </w:t>
            </w:r>
            <w:proofErr w:type="spellStart"/>
            <w:r>
              <w:t>lirinë</w:t>
            </w:r>
            <w:proofErr w:type="spellEnd"/>
            <w:r>
              <w:t xml:space="preserve"> e </w:t>
            </w:r>
            <w:proofErr w:type="spellStart"/>
            <w:r>
              <w:t>tubimit</w:t>
            </w:r>
            <w:proofErr w:type="spellEnd"/>
            <w:r>
              <w:t xml:space="preserve">, e </w:t>
            </w:r>
            <w:proofErr w:type="spellStart"/>
            <w:r>
              <w:t>drejtë</w:t>
            </w:r>
            <w:proofErr w:type="spellEnd"/>
            <w:r>
              <w:t xml:space="preserve"> </w:t>
            </w:r>
            <w:proofErr w:type="spellStart"/>
            <w:r>
              <w:t>kjo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parakusht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realizimin</w:t>
            </w:r>
            <w:proofErr w:type="spellEnd"/>
            <w:r>
              <w:t xml:space="preserve"> 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drejtës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pjesëmarrjes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aktivitete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shprehur</w:t>
            </w:r>
            <w:proofErr w:type="spellEnd"/>
            <w:r>
              <w:t xml:space="preserve"> </w:t>
            </w:r>
            <w:proofErr w:type="spellStart"/>
            <w:r>
              <w:t>mendimet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pakënaqësitë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ndikuar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mënyrë</w:t>
            </w:r>
            <w:proofErr w:type="spellEnd"/>
            <w:r>
              <w:t xml:space="preserve"> </w:t>
            </w:r>
            <w:proofErr w:type="spellStart"/>
            <w:r>
              <w:t>demokratike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proceset</w:t>
            </w:r>
            <w:proofErr w:type="spellEnd"/>
            <w:r>
              <w:t xml:space="preserve"> </w:t>
            </w:r>
            <w:proofErr w:type="spellStart"/>
            <w:r>
              <w:t>vendimmarrëse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vend.</w:t>
            </w:r>
          </w:p>
          <w:p w14:paraId="3A57003E" w14:textId="77777777" w:rsidR="00E954D7" w:rsidRDefault="002176A4" w:rsidP="002176A4"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përputhje</w:t>
            </w:r>
            <w:proofErr w:type="spellEnd"/>
            <w:r>
              <w:t xml:space="preserve"> me </w:t>
            </w:r>
            <w:proofErr w:type="spellStart"/>
            <w:r>
              <w:t>parimet</w:t>
            </w:r>
            <w:proofErr w:type="spellEnd"/>
            <w:r>
              <w:t xml:space="preserve"> e </w:t>
            </w:r>
            <w:proofErr w:type="spellStart"/>
            <w:r>
              <w:t>konsultimit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mirëfilltë</w:t>
            </w:r>
            <w:proofErr w:type="spellEnd"/>
            <w:r>
              <w:t xml:space="preserve">, KCSF </w:t>
            </w:r>
            <w:proofErr w:type="spellStart"/>
            <w:r>
              <w:t>fton</w:t>
            </w:r>
            <w:proofErr w:type="spellEnd"/>
            <w:r>
              <w:t xml:space="preserve"> </w:t>
            </w:r>
            <w:proofErr w:type="spellStart"/>
            <w:r>
              <w:t>organin</w:t>
            </w:r>
            <w:proofErr w:type="spellEnd"/>
            <w:r>
              <w:t xml:space="preserve"> </w:t>
            </w:r>
            <w:proofErr w:type="spellStart"/>
            <w:r>
              <w:t>propozues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reflektojë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këto</w:t>
            </w:r>
            <w:proofErr w:type="spellEnd"/>
            <w:r>
              <w:t xml:space="preserve"> </w:t>
            </w:r>
            <w:proofErr w:type="spellStart"/>
            <w:r>
              <w:t>komente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mënyrë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mundësojë</w:t>
            </w:r>
            <w:proofErr w:type="spellEnd"/>
            <w:r>
              <w:t xml:space="preserve"> </w:t>
            </w:r>
            <w:proofErr w:type="spellStart"/>
            <w:r>
              <w:t>hartimin</w:t>
            </w:r>
            <w:proofErr w:type="spellEnd"/>
            <w:r>
              <w:t xml:space="preserve"> e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mundëson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promovon</w:t>
            </w:r>
            <w:proofErr w:type="spellEnd"/>
            <w:r>
              <w:t xml:space="preserve"> </w:t>
            </w:r>
            <w:proofErr w:type="spellStart"/>
            <w:r>
              <w:t>zbatimin</w:t>
            </w:r>
            <w:proofErr w:type="spellEnd"/>
            <w:r>
              <w:t xml:space="preserve"> 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drejtës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organizuar</w:t>
            </w:r>
            <w:proofErr w:type="spellEnd"/>
            <w:r>
              <w:t xml:space="preserve"> apo </w:t>
            </w:r>
            <w:proofErr w:type="spellStart"/>
            <w:r>
              <w:t>marrë</w:t>
            </w:r>
            <w:proofErr w:type="spellEnd"/>
            <w:r>
              <w:t xml:space="preserve"> </w:t>
            </w:r>
            <w:proofErr w:type="spellStart"/>
            <w:r>
              <w:t>pjesë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tubime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 xml:space="preserve">,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gjithë</w:t>
            </w:r>
            <w:proofErr w:type="spellEnd"/>
            <w:r>
              <w:t xml:space="preserve"> </w:t>
            </w:r>
            <w:proofErr w:type="spellStart"/>
            <w:r>
              <w:t>konform</w:t>
            </w:r>
            <w:proofErr w:type="spellEnd"/>
            <w:r>
              <w:t xml:space="preserve"> </w:t>
            </w:r>
            <w:proofErr w:type="spellStart"/>
            <w:r>
              <w:t>standardeve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parimeve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mira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>.</w:t>
            </w:r>
          </w:p>
        </w:tc>
      </w:tr>
      <w:tr w:rsidR="00E954D7" w:rsidRPr="00A44D8E" w14:paraId="1C99B2D9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27CB019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Comments on specific articles or parts of draft act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47C8D6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Komentet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Specifike</w:t>
            </w:r>
            <w:proofErr w:type="spellEnd"/>
          </w:p>
          <w:p w14:paraId="794A0FA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9471B9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7FB14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64C656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1BDA1FC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A0180C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46B59B8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01C1F9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1F5FC9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4E800E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7378564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A935F0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2B24D7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D529C9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54EBFF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92883D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shënuar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/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425584C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5D475D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2B9193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20811B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7A9D6E8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4A710D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3,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dispozitat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vlefshme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ofrojnë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vendosin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ta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Principi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standardet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 [1]</w:t>
            </w:r>
          </w:p>
          <w:p w14:paraId="183D8DB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C72E3F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E9FB0C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F4D916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1DD0888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412173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25110B4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9EA26B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6DB18D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E55917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13BAE23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38448B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4E6894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1.1.1.Tubimet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demonstrata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përkujtime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masive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;</w:t>
            </w:r>
          </w:p>
          <w:p w14:paraId="1B2DE2E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A669DE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 xml:space="preserve"> </w:t>
            </w:r>
          </w:p>
          <w:p w14:paraId="5DC43C3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C463A7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kategorizohen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Lista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kufizuar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vërejmë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marshe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ndezje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qirinjëve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elaboruar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fuqi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Nr. 03/L-118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.[2]</w:t>
            </w:r>
          </w:p>
          <w:p w14:paraId="3D3E65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DBEA5D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5EDB47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B307D3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0E406DD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8C38AD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përbëjnë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vazhdim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shohim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shpesh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marshet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ndezjet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qirinjëve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kategorizohen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2,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detajuar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gjithëpërfshirëse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mos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60B1D52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14B602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3B5C0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E9AFED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B2EDB7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FA7276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0A9F377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920A28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1408195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5C1FC7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4DFE7E5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74118F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768456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63C442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1.1.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611093E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406835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8E9A7E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6DC0A9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Neni 3, Pika 1.1,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pa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theksuar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fjala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Konsiderojmë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reagimit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ndërlidhjes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asocimit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rrallë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pjesëmarrës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shmangur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çfarëdo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interpretim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abritrar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dispozite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domosdoshme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njihet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përfqësuesit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entitetit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definicionit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bazë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kritereve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standardeve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[3].</w:t>
            </w:r>
          </w:p>
          <w:p w14:paraId="528EEE0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04DDAE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5D3CCB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962ACC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98A3B2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70B6B1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4</w:t>
            </w:r>
          </w:p>
          <w:p w14:paraId="3C17D56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962A2E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</w:p>
          <w:p w14:paraId="5810C45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6486B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734D6B0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C0F6A6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Secili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 pa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dallim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gjinie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race,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ngjyre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gjuhe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besimi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përkatësisë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nacionale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gjendjes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ekonomike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financiare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arsimore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sociale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bindjeve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rrethane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vetjake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6726F5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F26998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6DB9A3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1B729B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Njeriut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njihet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sigurojë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refugjatët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shtetasit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azilkërkuesit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/set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migrantët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Shembull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grup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qëndruar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tursit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bjeshkët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Rugovës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duan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përkrahjes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bashkëmendimtarët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ngritjes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vetëdijes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fakt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përtej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kufirit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shtetëror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AC7F1C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3931DC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DEA6E6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599483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2474630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008302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refugjatët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azilkërkuesit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migrantët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52D1B5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E7FCA0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7754EB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A59D8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3C7802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78B51E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5</w:t>
            </w:r>
          </w:p>
          <w:p w14:paraId="56D1AB3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4A21B7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</w:p>
          <w:p w14:paraId="1A04B7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1F3A7A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B7403B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CBE7C7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përafërt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62B9889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2B90A7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FD2CD9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5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përafërt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mos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karakter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obligativ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ofrimit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përshtatshme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vend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[4]. Ky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specifikon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vend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secila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to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2525342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F4FA6E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DC2856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A8444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7F3ABC1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B4F8A3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formulimi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Neni 5, Pika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pamundur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arsye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objektive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057626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0A3E0D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9F59D6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EA4579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1C0967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4593B0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E39852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FB629A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8</w:t>
            </w:r>
          </w:p>
          <w:p w14:paraId="3A6972A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A60D32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</w:p>
          <w:p w14:paraId="6F92430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9217FA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752B71C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EB9A58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310272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DBAC75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zhvillohen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respektuar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afatin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shtatëdhjetë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(72)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orësh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17EACC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3B7030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EFC920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shkrim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përmban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elementet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arsyen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urgjencës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vonë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(3)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A7B69B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B927FE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E4150E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AC895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C2550F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Policia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zyrtarisht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organizatorë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1E9F333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C7CED5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FAA286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;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5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kushtimisht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lejohet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7DDDC7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02EBA3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BAA20D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8BB1B5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njëkohshmë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online.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posaçërisht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situata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ajo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pandeminë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COVID-19,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2D15CCA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857EA0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FBA929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397A37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lidhje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7B66236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869223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njihen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standardet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te OSCE/ODIHR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[5].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argumentohet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hulumtimet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KCSF-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ambienti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favorshëm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.[6]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Pervec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njëkohëshme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tepër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1451DB1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34DDB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kundërshtuar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sigurojë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mbrojtjen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mirëqenien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protestuesëve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pranishën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protestë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kundër-protest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CDDB8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1052CB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lidhje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1E920EB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44BB4A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theksojë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paqësor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Online.</w:t>
            </w:r>
          </w:p>
          <w:p w14:paraId="475E8EF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1A0405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BD1784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DFF8BB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9</w:t>
            </w:r>
          </w:p>
          <w:p w14:paraId="0F9EC79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95CA25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</w:p>
          <w:p w14:paraId="51CD727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1AD57A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207CD3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058E8B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Vendimi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përfundimtar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inicohet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konflikt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kompetente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tri (3)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ditëve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pranimit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6DE4624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D9A948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E3FDF5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3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mosaprovim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pasi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ofron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apeluar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5369168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191284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8C32EB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2E322A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4EB54A9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BFC631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Formulimi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pari tek organi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siç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rregulluar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Nr. 03/L-118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vendimi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shkalle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kënaqshëm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palën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ankuese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atëherë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apelimi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kompetente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dyja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shkallët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vendimi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final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procedurë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para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datës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bazuara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Vendeikut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.[7]</w:t>
            </w:r>
          </w:p>
          <w:p w14:paraId="3C72657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BAA4B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F2841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658C8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13</w:t>
            </w:r>
          </w:p>
          <w:p w14:paraId="7706C02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906528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Veprimet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gjësendet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</w:p>
          <w:p w14:paraId="62993EC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C0AB0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117DA5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B21298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u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gjatë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shkaktojnë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42440B8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77ACC8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D0611E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natyrën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llojin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t’u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Kësisoj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hapësirë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keqinterpretim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rrjedhimisht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kufizime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CE93B6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A98EDF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7EE90E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63A864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5E3F066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2E63DE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paragrafit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gjatë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shkaktojnë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përmendur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natyrën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p.sh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mprehta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mos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cenojë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bartjen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lehtësojnë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p.sh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pankartave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përqim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mesazhit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shprehje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45E139C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C7375D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47CA96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D7C78D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 </w:t>
            </w:r>
          </w:p>
          <w:p w14:paraId="0B358DF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093910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14</w:t>
            </w:r>
          </w:p>
          <w:p w14:paraId="583057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18CF65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ndërprerjen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</w:t>
            </w:r>
            <w:proofErr w:type="spellEnd"/>
          </w:p>
          <w:p w14:paraId="27D3732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5F44E5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86E56E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C08494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urdhrit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ana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rreziku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evitohet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shtrënguese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64EF60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E528AA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F9E728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3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thekson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urdhrit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tërthorazi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nënkuptohet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autoritetet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0C9C658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6F0E17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207374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9E0617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2008787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0030DD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paragraf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sa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përshtatshme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lejoi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fundit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mjaftueshme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/et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1037581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63C03F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76FE6B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AF2D87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jospecifik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hapësira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interpretime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cka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do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do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cenonin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166385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98C8B3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FC6AC5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3CEE8F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3CB1CC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21BACB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24</w:t>
            </w:r>
          </w:p>
          <w:p w14:paraId="2ABF0CE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E5EDAF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ndëshkuese</w:t>
            </w:r>
            <w:proofErr w:type="spellEnd"/>
          </w:p>
          <w:p w14:paraId="18027EB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2C4BFD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100C19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0FD54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shkelje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dispozitave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5B762F0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FF713C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4BDC8C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1FCB4E5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88F1E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1B4779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35CCBC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</w:p>
          <w:p w14:paraId="1A0339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8B5BC6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</w:t>
            </w:r>
          </w:p>
          <w:p w14:paraId="3F08603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F5FFC0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Neni 8, paragrafi 1,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afatin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shtatëdhjetë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(72)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orësh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60556D9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85B19A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9F3A13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27C7F6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Duke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analizuar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;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vërehet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kundërshtim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njëra-tjetrën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rrjedhimisht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paragrafi 2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vështirë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zbatohet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D2FF2F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388230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8B499B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379B0C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7E7EF3E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760585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fjalinë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8.1. Pas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paragrafi 2.1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do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reflektojë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rregull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62AA11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C7360E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15A2EF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BC80BB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Pika 1 Neni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parasheh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procedurë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1476A42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68548B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2442DD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C9F46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56FF5C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335398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24</w:t>
            </w:r>
          </w:p>
          <w:p w14:paraId="4BED90A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3D3BDA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ndëshkuese</w:t>
            </w:r>
            <w:proofErr w:type="spellEnd"/>
          </w:p>
          <w:p w14:paraId="1D20494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AA6E71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FFCBBE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DC105F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shkelje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dispozitave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010E195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4EDEA5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643715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645EAC0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EFAF70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2.1.2.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pesëdhjetë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(150)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1CE2AAC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EBF07E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2.3.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419E56A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26EE73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2.3.2. 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treqind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(300)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3A8D25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E9A37A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2.6.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paragrafi 2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1D552E8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7E5A68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2.6.2.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treqind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(300) 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031CA6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12EB0F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7474AE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5110D4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parasysh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operojnë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kushte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rrethana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shumicën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mbizotëron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aktiviteti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vullnetar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tilla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grupacioneve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qytetarëve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angazhohen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rreth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adresimit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komunitetin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joproporcionale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A365D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2A1EDD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92DAD5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860B05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1059AE2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B7A0E7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48ABDD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9A167D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Opcioni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pikave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Jo-Qeveritare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vogël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krahsim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aktiviteti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fitimin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biznese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korporata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)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shembull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100 EUR).</w:t>
            </w:r>
          </w:p>
          <w:p w14:paraId="1019D72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A6005E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Opcioni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pikave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hyra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vjetore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50,000 EUR,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Jo-Qeveritare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100 EUR.</w:t>
            </w:r>
          </w:p>
          <w:p w14:paraId="60CE55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6A8F07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A1D968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C25046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32695F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A55226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F1620F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EFC53A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1218A3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EC0B02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131D2C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F6F1E1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[1]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 https://www.ohchr.org/Documents/ProfessionalInterest/ccpr.pdf</w:t>
            </w:r>
          </w:p>
          <w:p w14:paraId="14E31CE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7D7706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[2]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 https://gzk.rks-gov.net/ActDetail.aspx?ActID=2633</w:t>
            </w:r>
          </w:p>
          <w:p w14:paraId="4EFFEDA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B4C9EB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[3]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https://ëëë.ohchr.org/Documents/ProfessionalInterest/ccpr.pdf</w:t>
            </w:r>
          </w:p>
          <w:p w14:paraId="5570DEA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61A1A7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[4]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https://www.venice.coe.int/ëebforms/documents/default.aspx?pdffile=CDL-AD(2010)020-e</w:t>
            </w:r>
          </w:p>
          <w:p w14:paraId="1275F56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253AC9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[5]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https://www.venice.coe.int/webforms/documents/default.aspx?pdffile</w:t>
            </w: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=CDL-AD(2010)020-e</w:t>
            </w:r>
          </w:p>
          <w:p w14:paraId="6F11A7B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35D4AB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[6]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Matrica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Monitorimit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Favorshëm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Civile, https://ëëë.kcsfoundation.org/ëp-content/uploads/2021/02/MM-2020_Kosova-country-report_final_ALB-1-1.pdf</w:t>
            </w:r>
          </w:p>
          <w:p w14:paraId="7D09145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05E4C15" w14:textId="77777777" w:rsidR="00E954D7" w:rsidRPr="00A44D8E" w:rsidRDefault="002176A4" w:rsidP="002176A4">
            <w:pPr>
              <w:rPr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[7]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; https://www.venice.coe.int/ëebforms/documents/default.aspx?pdffile=CDL-AD(2010)020-e</w:t>
            </w:r>
          </w:p>
        </w:tc>
      </w:tr>
      <w:tr w:rsidR="00E954D7" w14:paraId="2F8CC435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F6EF3EA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 xml:space="preserve">Contact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E9043FA" w14:textId="77777777" w:rsidR="00E954D7" w:rsidRDefault="002176A4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Taulant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Hoxha</w:t>
            </w:r>
            <w:r w:rsidR="00A44D8E"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954D7" w14:paraId="2BC6E728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64FFECB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Email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5EE8DE9" w14:textId="77777777" w:rsidR="00E954D7" w:rsidRDefault="002176A4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office@kcsfoundation.org</w:t>
            </w:r>
          </w:p>
        </w:tc>
      </w:tr>
    </w:tbl>
    <w:p w14:paraId="089EB643" w14:textId="77777777" w:rsidR="00E954D7" w:rsidRDefault="00E954D7"/>
    <w:p w14:paraId="4BC2DBD1" w14:textId="77777777" w:rsidR="00E954D7" w:rsidRDefault="00A44D8E">
      <w:pPr>
        <w:spacing w:before="1" w:after="1"/>
      </w:pPr>
      <w:r>
        <w:rPr>
          <w:rFonts w:ascii="Cambria (Headings)" w:hAnsi="Cambria (Headings)" w:cs="Cambria (Headings)"/>
          <w:sz w:val="22"/>
          <w:szCs w:val="22"/>
        </w:rPr>
        <w:t>This consultations does not include any additional documents</w:t>
      </w:r>
    </w:p>
    <w:p w14:paraId="0D77B29A" w14:textId="77777777" w:rsidR="00E954D7" w:rsidRDefault="00E954D7"/>
    <w:p w14:paraId="440B70F9" w14:textId="77777777" w:rsidR="00E954D7" w:rsidRDefault="00E954D7"/>
    <w:p w14:paraId="05F9CEB0" w14:textId="77777777" w:rsidR="00E954D7" w:rsidRDefault="00E954D7"/>
    <w:p w14:paraId="5B7ADB53" w14:textId="77777777" w:rsidR="00E954D7" w:rsidRDefault="00E954D7"/>
    <w:p w14:paraId="133CF17F" w14:textId="77777777" w:rsidR="00E954D7" w:rsidRDefault="00E954D7"/>
    <w:p w14:paraId="24094FA8" w14:textId="77777777" w:rsidR="00E954D7" w:rsidRDefault="00E954D7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4266"/>
        <w:gridCol w:w="2210"/>
      </w:tblGrid>
      <w:tr w:rsidR="00E954D7" w14:paraId="514ED68F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1441B48E" w14:textId="77777777" w:rsidR="00E954D7" w:rsidRDefault="00E954D7"/>
        </w:tc>
        <w:tc>
          <w:tcPr>
            <w:tcW w:w="60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37B85ADE" w14:textId="77777777" w:rsidR="00E954D7" w:rsidRDefault="00A44D8E"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FOR SENDING COMMENTS</w:t>
            </w:r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3682C1BA" w14:textId="77777777" w:rsidR="00E954D7" w:rsidRDefault="00E954D7"/>
        </w:tc>
      </w:tr>
    </w:tbl>
    <w:p w14:paraId="588A0B8E" w14:textId="77777777" w:rsidR="00E954D7" w:rsidRDefault="00E954D7"/>
    <w:tbl>
      <w:tblPr>
        <w:tblW w:w="0" w:type="auto"/>
        <w:tblInd w:w="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81"/>
      </w:tblGrid>
      <w:tr w:rsidR="00E954D7" w14:paraId="20D74829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2EA3E19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Title of the draft Law/concept document/Strategy or other act under public consultation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F5D140F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NACRT ZAKONA O JAVNIM OKUPLJANJIMA   </w:t>
            </w:r>
          </w:p>
        </w:tc>
      </w:tr>
      <w:tr w:rsidR="00E954D7" w14:paraId="753184F0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DF81605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Public body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171C8CF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Ministrstvo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Unutrasnjih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Poslova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954D7" w14:paraId="3A8FA8DC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7C5DFEE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Name of contributor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organisation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/individual)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D2C60F0" w14:textId="77777777" w:rsidR="00E954D7" w:rsidRDefault="002176A4"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Taulant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Hoxha - KCSF</w:t>
            </w:r>
          </w:p>
        </w:tc>
      </w:tr>
      <w:tr w:rsidR="00E954D7" w14:paraId="32E7A60A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44DD950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General comments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996A04A" w14:textId="77777777" w:rsidR="00E954D7" w:rsidRDefault="00A44D8E"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Komentet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rekomandimet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e </w:t>
            </w:r>
            <w:r w:rsidR="002176A4"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KCSF</w:t>
            </w:r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Projektligjin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b/>
                <w:sz w:val="22"/>
                <w:szCs w:val="22"/>
              </w:rPr>
              <w:t>publike</w:t>
            </w:r>
            <w:proofErr w:type="spellEnd"/>
          </w:p>
          <w:p w14:paraId="129002A3" w14:textId="77777777" w:rsidR="00E954D7" w:rsidRDefault="00E954D7"/>
          <w:p w14:paraId="39C1F331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  <w:p w14:paraId="609B7FAE" w14:textId="77777777" w:rsidR="00E954D7" w:rsidRDefault="00E954D7"/>
          <w:p w14:paraId="487E3118" w14:textId="77777777" w:rsidR="00A44D8E" w:rsidRPr="00A44D8E" w:rsidRDefault="00A44D8E" w:rsidP="00A44D8E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Koment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përgjithshëm</w:t>
            </w:r>
            <w:proofErr w:type="spellEnd"/>
          </w:p>
          <w:p w14:paraId="2C2E3B5D" w14:textId="77777777" w:rsidR="00A44D8E" w:rsidRPr="00A44D8E" w:rsidRDefault="00A44D8E" w:rsidP="00A44D8E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4A829DE" w14:textId="77777777" w:rsidR="00A44D8E" w:rsidRPr="00A44D8E" w:rsidRDefault="00A44D8E" w:rsidP="00A44D8E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Fondacioni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Kosovar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Shoqëri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(KCSF)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ftesën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procesit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konsultimit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materialin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përputhje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misionin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fushë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veprimtarinë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vet.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Komentet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KCSF-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përqendrohen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kryesisht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ndikimin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potencial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dispozita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organizatave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OShC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subjekteve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parakusht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realizimin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pjesëmarrjes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mendimet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ndikuar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demokratike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proceset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vendimmarrëse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vend.</w:t>
            </w:r>
          </w:p>
          <w:p w14:paraId="425ADD46" w14:textId="77777777" w:rsidR="00E954D7" w:rsidRDefault="00A44D8E" w:rsidP="00A44D8E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përputhje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konsultimit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mirëfilltë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KCSF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reflektojë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hartimin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promovon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zbatimin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konform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standardeve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</w:tc>
      </w:tr>
      <w:tr w:rsidR="00E954D7" w:rsidRPr="00A44D8E" w14:paraId="00AF0DF5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BD99EC7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 xml:space="preserve">Comments on specific articles or parts of draft act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6AD2DA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Komentet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Specifike</w:t>
            </w:r>
            <w:proofErr w:type="spellEnd"/>
          </w:p>
          <w:p w14:paraId="1CBC64B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270713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EB2F47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2592B4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51DE66E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C1DE45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01CE8BB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BD2D3B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21093A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0FC865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12BAA54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D6451D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CA386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1868289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EE8DB8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63B95B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shënuar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/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66ECC56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45D2A5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52D974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1126D6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1AFC72C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1CCB62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3,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dispozitat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vlefshme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ofrojnë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vendosin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ta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Principi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standardet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 [1]</w:t>
            </w:r>
          </w:p>
          <w:p w14:paraId="0575D3C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44A8E0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B376B6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81F0AA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09E7AAA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78A1B7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284D4FF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900BFF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CD16AC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8F949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4E94EA0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1E2D07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564D28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1.1.1.Tubimet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demonstrata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përkujtime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masive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;</w:t>
            </w:r>
          </w:p>
          <w:p w14:paraId="77ED68B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9D664D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0E7161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C46907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kategorizohen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Lista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kufizuar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vërejmë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marshe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ndezje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qirinjëve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elaboruar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fuqi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Nr. 03/L-118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.[2]</w:t>
            </w:r>
          </w:p>
          <w:p w14:paraId="5A20526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507512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4C217E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51C73C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6F92783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11B283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përbëjnë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1.1.1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vazhdim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shohim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shpesh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marshet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ndezjet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qirinjëve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aktiviteteve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kategorizohen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2,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detajuar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gjithëpërfshirëse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mos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69E32D4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B4D18C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7BD045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95BE98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61A9FC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67191C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3</w:t>
            </w:r>
          </w:p>
          <w:p w14:paraId="3DF2675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77466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Përkufizimet</w:t>
            </w:r>
            <w:proofErr w:type="spellEnd"/>
          </w:p>
          <w:p w14:paraId="678B39C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3350FC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përdorura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kuptimin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05AB999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32F19B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0F9F9E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0F5529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1.1.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nënkupton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përkohshme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hapura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publikun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opinionit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përbashkët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0E6E106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F77CCA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1F40ED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AE95F7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Neni 3, Pika 1.1,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përkufizon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individëve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pa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theksuar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këtu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fjala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Konsiderojmë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reagimit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ndërlidhjes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asocimit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rrallë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pjesëmarrës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shmangur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çfarëdo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interpretim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abritrar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dispozite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domosdoshme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njihet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përfqësuesit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entitetit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definicionit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bazë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kritereve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standardeve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[3].</w:t>
            </w:r>
          </w:p>
          <w:p w14:paraId="55FF1AA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6AEB07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6B4B4B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D8601D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901466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0F6F18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4</w:t>
            </w:r>
          </w:p>
          <w:p w14:paraId="3C9D8C0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311F8A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</w:p>
          <w:p w14:paraId="637C1DA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B89FEA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7FB815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69CFE2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Secili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person pa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asnjë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dallim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gjinie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race,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ngjyre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gjuhe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besimi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përkatësisë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nacionale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gjendjes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ekonomike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financiare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arsimore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sociale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bindjeve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rrethane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vetjake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3FCF166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69C41E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398B00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3A6D5F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Njeriut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njihet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Prandaj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sigurojë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paqësor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refugjatët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shtetasit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azilkërkuesit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/set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migrantët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Shembull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grup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qëndruar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tursit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bjeshkët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Rugovës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duan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përkrahjes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bashkëmendimtarët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ngritjes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vetëdijes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fakt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mbrojtja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çështje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interes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përtej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kufirit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shtetëror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326B262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3A322D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347D9F2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24F625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:</w:t>
            </w:r>
          </w:p>
          <w:p w14:paraId="4A7CDF9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39AE6A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refugjatët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azilkërkuesit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migrantët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pa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shtetësi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huaj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marrin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rregullave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5890122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A1528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8BDAC2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F822EF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705132B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613871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5</w:t>
            </w:r>
          </w:p>
          <w:p w14:paraId="6632A43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FD2E5F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</w:p>
          <w:p w14:paraId="18CD049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C3679E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0EFC40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940E97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përafërt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3A4A0DD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600E79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BC23FF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5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lajmërohet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përafërt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duke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mos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dhënë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karakter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obligativ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ofrimit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përshtatshme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vend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garantuar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bazuar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[4]. Ky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specifikon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protesta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vend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secila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to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561C969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1CABB2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 xml:space="preserve"> </w:t>
            </w:r>
          </w:p>
          <w:p w14:paraId="7979E6B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4959C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Propozim</w:t>
            </w:r>
            <w:proofErr w:type="spellEnd"/>
          </w:p>
          <w:p w14:paraId="0AB1254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8EF189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formulimi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Neni 5, Pika 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përpiqet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gjë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pamundur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arsye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objektive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178E200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26EC27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2E26617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175C1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D96294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34BA7CC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7151E56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6DD9F3E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 8</w:t>
            </w:r>
          </w:p>
          <w:p w14:paraId="5D6F0FA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8B95E8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</w:p>
          <w:p w14:paraId="4A6D26F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87D4A4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5996FFC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10E020E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015C32E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919F66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zhvillohen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respektuar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afatin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shtatëdhjetë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(72)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orësh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040F8F0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3EE3C1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584C5B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shkrim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përmban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elementet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përcaktuara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arsyen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urgjencës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jo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vonë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(3)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mbajtjes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11A25C5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1CBC70E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4445A3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4D44981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B8C5E9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Policia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mundësojë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lastRenderedPageBreak/>
              <w:t>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zyrtarisht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organizatorë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njohur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33166AD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7E0E01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7A591FA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Neni 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lloje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;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paragrafi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5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kushtimisht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kërkohet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mbahet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lejohet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.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481FB23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0304C78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6966DD2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2A3E347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veçanta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njëkohshmë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drejtën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online.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shprehjes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qytetare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posaçërisht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rëndësishme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situata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sikur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ajo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pandeminë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COVID-19,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ushtrimi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mënyra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paraqet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rrezik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>.</w:t>
            </w:r>
          </w:p>
          <w:p w14:paraId="2F6EFB1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4FA4717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  <w:t xml:space="preserve"> </w:t>
            </w:r>
          </w:p>
          <w:p w14:paraId="72A275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</w:rPr>
            </w:pPr>
          </w:p>
          <w:p w14:paraId="5D8BCF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lidhje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57AD7E1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5CA4E6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forma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njihen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standardet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te OSCE/ODIHR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[5].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argumentohet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hulumtimet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KCSF-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ambienti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favorshëm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.[6]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Pervec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njëkohëshme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tepër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paqësore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ndodhin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D2ECBC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74BEBD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kundër-tubimet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kundërshtuar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ndodhë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sigurojë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mbrojtjen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mirëqenien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protestuesëve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pranishën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protestë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kundër-protest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6A304C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6FA006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lidhje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5FEE7AA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AE3856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Projektligji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theksojë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paqësor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Online.</w:t>
            </w:r>
          </w:p>
          <w:p w14:paraId="658261A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E8AF8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AA213B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6DC7A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9</w:t>
            </w:r>
          </w:p>
          <w:p w14:paraId="2352757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D71B22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</w:p>
          <w:p w14:paraId="7DCC13B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91CA73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B471C0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20B23D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Vendimi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përfundimtar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inicohet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konflikt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kompetente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administrative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tri (3)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ditëve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pranimit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06ACD2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C4CB66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5FF06A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3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mosaprovim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pasi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ofron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trajton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apeluar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53AE2D9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C17273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F480F0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A75FD5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6B843B6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AE6FD7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Formulimi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pari tek organi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siç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rregulluar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Nr. 03/L-118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vendimi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kësaj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shkalle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kënaqshëm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palën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ankuese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atëherë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apelimi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Gjykatën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kompetente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shkallët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ankesës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vendimi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final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merret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procedurë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para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datës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paralajmëruar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mbajtja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bazuara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Vendeikut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.[7]</w:t>
            </w:r>
          </w:p>
          <w:p w14:paraId="1A96703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85B810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 </w:t>
            </w:r>
          </w:p>
          <w:p w14:paraId="09712F2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62B981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13</w:t>
            </w:r>
          </w:p>
          <w:p w14:paraId="6176231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C2CEB7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Veprimet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gjësendet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</w:p>
          <w:p w14:paraId="32512FD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FA4D9C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2440B4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77258A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u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gjatë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shkaktojnë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68BEA8D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55F710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9810E1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13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natyrën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llojin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t’u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Kësisoj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gjerë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hapësirë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keqinterpretim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rrjedhimisht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kufizime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1706405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5DEA44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951998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A7C9AE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595054B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9CF739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paragrafit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gjatë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shkaktojnë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shëndetin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përmendur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natyrën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p.sh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mprehta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aktual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mos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specifik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cenojë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bartjen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mjeteve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lehtësojnë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mbajtjen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p.sh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pankartave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përqim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mesazhit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shprehje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pakënaqësisë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691F95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916585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947D91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4615A1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5CA30D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8C0BE6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14</w:t>
            </w:r>
          </w:p>
          <w:p w14:paraId="0555AA3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2700BA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ndërprerjen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</w:t>
            </w:r>
            <w:proofErr w:type="spellEnd"/>
          </w:p>
          <w:p w14:paraId="5F7BA8F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60DAE0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5DAE38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958158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urdhrit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çdo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përdorimi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ana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vetëm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rreziku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evitohet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shtrënguese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33EA13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4BB147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80D0BA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3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thekson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brenda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urdhrit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bëhet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Mirëpo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kohor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tërthorazi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nënkuptohet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presin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autoritetet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forcë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0784A0C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6195C2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5F0CD7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206EF6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6F1BEDF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D8597A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paragraf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sa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përshtatshme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dyja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/et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njejtën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lejoi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këtyre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fundit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mjaftueshme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pjesëmarrësit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/et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shpërndahen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9183A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192204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DEE1A4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2736D7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përkufizim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tillë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jospecifik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hapësira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interpretime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cka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do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kohë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do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cenonin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ushtrimin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113A328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0B18B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63751F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35144E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FCD501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286A46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24</w:t>
            </w:r>
          </w:p>
          <w:p w14:paraId="625ED62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B4B110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ndëshkuese</w:t>
            </w:r>
            <w:proofErr w:type="spellEnd"/>
          </w:p>
          <w:p w14:paraId="39D9187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88CDF8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F691F4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EE0E4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shkelje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dispozitave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449F150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5F57B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98DA3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63F8B15E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6B95C3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01431A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1C1B4E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Paragrafi 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tjerash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</w:p>
          <w:p w14:paraId="3F46B91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737B51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Ndërkaq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</w:t>
            </w:r>
          </w:p>
          <w:p w14:paraId="4F2C333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DB58D5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Neni 8, paragrafi 1,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thotë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afatin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shtatëdhjetë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(72)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orësh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68FCEE1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A46E94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D71465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DA3DB0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Duke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analizuar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;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kërkon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njoftimi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urgjente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spontane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vërehet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kundërshtim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njëra-tjetrën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rrjedhimisht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paragrafi 2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vështirë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zbatohet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praktikë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217A06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F721E2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7FAE2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ECE6FC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70A2235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733A85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përfshijë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Kështu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rekomandohet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pjesa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fjalinë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përjashtimeve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8.1. Pas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plotësimit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edhe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paragrafi 2.1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do t’i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reflektojë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mënyrë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ato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përjashtuara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rregull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3CDC75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864C46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CD0341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A6AE32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Pika 1 Neni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gjitha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nga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përfaqësuesi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formë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shkruar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ose me email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Kosovës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përveç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ky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parasheh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procedurë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tjetër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2199C4C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31F168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7AB02C2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399EE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3539F8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A1C9E3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 24</w:t>
            </w:r>
          </w:p>
          <w:p w14:paraId="46EE947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9C1CB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Masat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ndëshkuese</w:t>
            </w:r>
            <w:proofErr w:type="spellEnd"/>
          </w:p>
          <w:p w14:paraId="2AB84B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B3E5DE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2A6969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BEB963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shkelje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dispozitave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policia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shqipton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vijim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47EF804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A18B64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31167CA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2.1.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6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46B8832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F8C7EB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 xml:space="preserve">2.1.2.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pesëdhjetë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(150)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3BE6A6A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A94ED0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2.3.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mban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9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5E56DA0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4F6EAE7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2.3.2. 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treqind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(300)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4F9E67C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AFFF8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2.6.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pajtim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paragrafi 2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14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këtij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dënohet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prej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</w:t>
            </w:r>
          </w:p>
          <w:p w14:paraId="18E11A7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EBFFBBB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2.6.2.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treqind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(300)  euro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është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7628DB8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87A6C1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B90674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DD6AA8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lajmëron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respekton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vendimin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ndalimin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apo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nuk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ndërpren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janë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duke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parasysh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operojnë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kushte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rrethana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ndryshme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shumicën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mbizotëron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aktiviteti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vullnetar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.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tilla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rastet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grupacioneve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qytetarëve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cilët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angazhohen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rreth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adresimit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një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problematike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caktuar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komunitetin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jetojnë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mund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joproporcionale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.</w:t>
            </w:r>
          </w:p>
          <w:p w14:paraId="0F586BB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E29E6B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38849EAC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2C7FC0F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Propozim</w:t>
            </w:r>
            <w:proofErr w:type="spellEnd"/>
          </w:p>
          <w:p w14:paraId="5D1DA18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4CB2005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0F984772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FF99BE8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Opcioni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pikave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Jo-Qeveritare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listohen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kategori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veçantë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dënimi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paraparë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arsyeshëm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vogël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krahsim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personat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aktiviteti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cilëve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ka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qëllim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fitimin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biznese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korporata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) (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shembull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100 EUR).</w:t>
            </w:r>
          </w:p>
          <w:p w14:paraId="05DEF5A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83413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Opcioni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dytë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: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kuadër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pikave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listuara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Nenin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24,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gjoba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persona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juridik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me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hyra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vjetore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shumë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50,000 EUR,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Organizata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Jo-Qeveritare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jetë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jo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lartë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se 100 EUR.</w:t>
            </w:r>
          </w:p>
          <w:p w14:paraId="2768C4C0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950CC5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BBB461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A7C0A1D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39CD1C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2279D1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4C1B21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5D96A6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0D2F62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083A647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32C7CA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CB6C33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[1]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Pakti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 https://www.ohchr.org/Documents/ProfessionalInterest/ccpr.pdf</w:t>
            </w:r>
          </w:p>
          <w:p w14:paraId="2A6C302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13804F3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[2]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Ligji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Tubimet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Publike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, https://gzk.rks-gov.net/ActDetail.aspx?ActID=2633</w:t>
            </w:r>
          </w:p>
          <w:p w14:paraId="3C6ACA6A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67E42683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[3]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Paktin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Ndërkombëtar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Drejtat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dhe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Politike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Kombeve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Bashkuara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https://ëëë.ohchr.org/Documents/ProfessionalInterest/ccpr.pdf</w:t>
            </w:r>
          </w:p>
          <w:p w14:paraId="36A65FE9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27BA2BD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[4]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https://www.venice.coe.int/ëebforms/documents/default.aspx?pdffile=CDL-AD(2010)020-e</w:t>
            </w:r>
          </w:p>
          <w:p w14:paraId="2C308171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5BE2979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[5]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: https://www.venice.coe.int/webforms/documents/default.aspx?pdffile=CDL-AD(2010)020-e</w:t>
            </w:r>
          </w:p>
          <w:p w14:paraId="1EDDE63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41D51FC6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[6]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Matrica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Monitorimit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Krijimin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Ambientit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Favorshëm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për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Zhvillim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Shoqërisë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Civile, https://ëëë.kcsfoundation.org/ëp-content/uploads/2021/02/MM-2020_Kosova-country-</w:t>
            </w: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lastRenderedPageBreak/>
              <w:t>report_final_ALB-1-1.pdf</w:t>
            </w:r>
          </w:p>
          <w:p w14:paraId="2830C254" w14:textId="77777777" w:rsidR="002176A4" w:rsidRPr="00A44D8E" w:rsidRDefault="002176A4" w:rsidP="002176A4">
            <w:pPr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</w:pPr>
          </w:p>
          <w:p w14:paraId="719BCA5C" w14:textId="77777777" w:rsidR="00E954D7" w:rsidRPr="00A44D8E" w:rsidRDefault="002176A4" w:rsidP="002176A4">
            <w:pPr>
              <w:rPr>
                <w:lang w:val="it-IT"/>
              </w:rPr>
            </w:pPr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[7] OSCE/ODIHR –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Komisioni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i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Venedikut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,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Udhëzues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mbi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Lirinë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 xml:space="preserve"> e </w:t>
            </w:r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Tubimit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  <w:u w:val="single"/>
                <w:lang w:val="it-IT"/>
              </w:rPr>
              <w:t>; https://www.venice.coe.int/ëebforms/documents/default.aspx?pdffile=CDL-AD(2010)020-e</w:t>
            </w:r>
          </w:p>
        </w:tc>
      </w:tr>
      <w:tr w:rsidR="00E954D7" w14:paraId="7CC87AC8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6B71E15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 xml:space="preserve">Contact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A0A00AB" w14:textId="77777777" w:rsidR="00E954D7" w:rsidRDefault="002176A4">
            <w:proofErr w:type="spellStart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Taulant</w:t>
            </w:r>
            <w:proofErr w:type="spellEnd"/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Hoxha</w:t>
            </w:r>
            <w:r w:rsidR="00A44D8E"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954D7" w14:paraId="176C1F82" w14:textId="77777777" w:rsidTr="00A44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21B429E" w14:textId="77777777" w:rsidR="00E954D7" w:rsidRDefault="00A44D8E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 xml:space="preserve">Email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AD779E5" w14:textId="77777777" w:rsidR="00E954D7" w:rsidRDefault="002176A4">
            <w:r w:rsidRPr="00A44D8E">
              <w:rPr>
                <w:rFonts w:ascii="Cambria (Headings)" w:hAnsi="Cambria (Headings)" w:cs="Cambria (Headings)"/>
                <w:sz w:val="22"/>
                <w:szCs w:val="22"/>
              </w:rPr>
              <w:t>office@kcsfoundation.org</w:t>
            </w:r>
          </w:p>
        </w:tc>
      </w:tr>
    </w:tbl>
    <w:p w14:paraId="2A01857C" w14:textId="77777777" w:rsidR="00E954D7" w:rsidRDefault="00E954D7"/>
    <w:p w14:paraId="176AB5EC" w14:textId="77777777" w:rsidR="00E954D7" w:rsidRDefault="00A44D8E">
      <w:pPr>
        <w:spacing w:before="1" w:after="1"/>
      </w:pPr>
      <w:proofErr w:type="spellStart"/>
      <w:r>
        <w:rPr>
          <w:rFonts w:ascii="Cambria (Headings)" w:hAnsi="Cambria (Headings)" w:cs="Cambria (Headings)"/>
          <w:sz w:val="22"/>
          <w:szCs w:val="22"/>
        </w:rPr>
        <w:t>Ovaj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konsultacije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ne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ukljucuje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dodatne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dokumente</w:t>
      </w:r>
      <w:proofErr w:type="spellEnd"/>
    </w:p>
    <w:p w14:paraId="73D1EA56" w14:textId="77777777" w:rsidR="00E954D7" w:rsidRDefault="00E954D7"/>
    <w:p w14:paraId="5717C9A5" w14:textId="77777777" w:rsidR="00E954D7" w:rsidRDefault="00E954D7"/>
    <w:p w14:paraId="469FA811" w14:textId="77777777" w:rsidR="00E954D7" w:rsidRDefault="00E954D7"/>
    <w:p w14:paraId="75FF67F1" w14:textId="77777777" w:rsidR="00E954D7" w:rsidRDefault="00E954D7"/>
    <w:p w14:paraId="62438B99" w14:textId="77777777" w:rsidR="00E954D7" w:rsidRDefault="00E954D7"/>
    <w:p w14:paraId="544F60F2" w14:textId="77777777" w:rsidR="00E954D7" w:rsidRDefault="00E954D7"/>
    <w:sectPr w:rsidR="00E954D7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Headings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D7"/>
    <w:rsid w:val="001B4BDF"/>
    <w:rsid w:val="002176A4"/>
    <w:rsid w:val="00A44D8E"/>
    <w:rsid w:val="00E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300F7"/>
  <w15:docId w15:val="{50AB4191-C09E-45A3-BC56-4647F2B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8345</Words>
  <Characters>47572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Raca</dc:creator>
  <cp:keywords/>
  <dc:description/>
  <cp:lastModifiedBy>Valon Raca</cp:lastModifiedBy>
  <cp:revision>2</cp:revision>
  <dcterms:created xsi:type="dcterms:W3CDTF">2022-03-14T12:59:00Z</dcterms:created>
  <dcterms:modified xsi:type="dcterms:W3CDTF">2022-03-14T12:59:00Z</dcterms:modified>
  <cp:category/>
</cp:coreProperties>
</file>